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2717" w14:textId="77777777" w:rsidR="004357B4" w:rsidRPr="004357B4" w:rsidRDefault="004357B4" w:rsidP="004357B4">
      <w:pPr>
        <w:rPr>
          <w:b/>
          <w:bCs/>
          <w:sz w:val="24"/>
          <w:szCs w:val="24"/>
        </w:rPr>
      </w:pPr>
      <w:r w:rsidRPr="004357B4">
        <w:rPr>
          <w:b/>
          <w:bCs/>
          <w:sz w:val="24"/>
          <w:szCs w:val="24"/>
        </w:rPr>
        <w:t>HIPAA Federal Standards</w:t>
      </w:r>
    </w:p>
    <w:p w14:paraId="74506762" w14:textId="77777777" w:rsidR="004357B4" w:rsidRPr="004357B4" w:rsidRDefault="004357B4" w:rsidP="004357B4">
      <w:pPr>
        <w:rPr>
          <w:sz w:val="24"/>
          <w:szCs w:val="24"/>
        </w:rPr>
      </w:pPr>
      <w:r w:rsidRPr="004357B4">
        <w:rPr>
          <w:b/>
          <w:bCs/>
          <w:sz w:val="24"/>
          <w:szCs w:val="24"/>
        </w:rPr>
        <w:t>Patient Access Rights:</w:t>
      </w:r>
      <w:r w:rsidRPr="004357B4">
        <w:rPr>
          <w:sz w:val="24"/>
          <w:szCs w:val="24"/>
        </w:rPr>
        <w:t xml:space="preserve"> Under the HIPAA Privacy Rule (45 CFR 164.524), covered entities must provide individuals access to their protected health information (PHI) within 30 days of a request, with a possible one-time extension of 30 additional days if the entity notifies the individual of the delay within the initial period.</w:t>
      </w:r>
    </w:p>
    <w:p w14:paraId="4B9B0620" w14:textId="77777777" w:rsidR="004357B4" w:rsidRPr="004357B4" w:rsidRDefault="004357B4" w:rsidP="004357B4">
      <w:pPr>
        <w:rPr>
          <w:sz w:val="24"/>
          <w:szCs w:val="24"/>
        </w:rPr>
      </w:pPr>
      <w:r w:rsidRPr="004357B4">
        <w:rPr>
          <w:b/>
          <w:bCs/>
          <w:sz w:val="24"/>
          <w:szCs w:val="24"/>
        </w:rPr>
        <w:t>Breach Notification</w:t>
      </w:r>
      <w:r w:rsidRPr="004357B4">
        <w:rPr>
          <w:sz w:val="24"/>
          <w:szCs w:val="24"/>
        </w:rPr>
        <w:t>: The HIPAA Breach Notification Rule (45 CFR 164.404) requires covered entities to notify affected individuals of a breach of unsecured PHI "without unreasonable delay" and no later than 60 calendar days from the discovery of the breach. For breaches affecting 500 or more individuals, notification to the U.S. Department of Health and Human Services (HHS) must also occur within 60 days, while smaller breaches can be reported annually.</w:t>
      </w:r>
    </w:p>
    <w:p w14:paraId="1546C648" w14:textId="77777777" w:rsidR="004357B4" w:rsidRPr="004357B4" w:rsidRDefault="004357B4" w:rsidP="004357B4">
      <w:pPr>
        <w:rPr>
          <w:b/>
          <w:bCs/>
          <w:sz w:val="24"/>
          <w:szCs w:val="24"/>
          <w:u w:val="single"/>
        </w:rPr>
      </w:pPr>
      <w:r w:rsidRPr="004357B4">
        <w:rPr>
          <w:b/>
          <w:bCs/>
          <w:sz w:val="24"/>
          <w:szCs w:val="24"/>
          <w:u w:val="single"/>
        </w:rPr>
        <w:t>States with More Stringent Timeframes</w:t>
      </w:r>
    </w:p>
    <w:p w14:paraId="573164AA" w14:textId="77777777" w:rsidR="004357B4" w:rsidRPr="004357B4" w:rsidRDefault="004357B4" w:rsidP="004357B4">
      <w:pPr>
        <w:rPr>
          <w:sz w:val="24"/>
          <w:szCs w:val="24"/>
        </w:rPr>
      </w:pPr>
      <w:r w:rsidRPr="004357B4">
        <w:rPr>
          <w:sz w:val="24"/>
          <w:szCs w:val="24"/>
        </w:rPr>
        <w:t>States can enact laws that shorten these timeframes, making them stricter than HIPAA. Based on available data and legal frameworks, here are states with more stringent requirements as of April 2, 2025:</w:t>
      </w:r>
    </w:p>
    <w:p w14:paraId="1CEFA38E" w14:textId="77777777" w:rsidR="004357B4" w:rsidRPr="004357B4" w:rsidRDefault="004357B4" w:rsidP="004357B4">
      <w:pPr>
        <w:rPr>
          <w:b/>
          <w:bCs/>
          <w:sz w:val="24"/>
          <w:szCs w:val="24"/>
          <w:u w:val="single"/>
        </w:rPr>
      </w:pPr>
      <w:r w:rsidRPr="004357B4">
        <w:rPr>
          <w:b/>
          <w:bCs/>
          <w:sz w:val="24"/>
          <w:szCs w:val="24"/>
          <w:u w:val="single"/>
        </w:rPr>
        <w:t>Patient Access Rights (Shorter than 30 Days)</w:t>
      </w:r>
    </w:p>
    <w:p w14:paraId="3062313D" w14:textId="77777777" w:rsidR="004357B4" w:rsidRPr="004357B4" w:rsidRDefault="004357B4" w:rsidP="004357B4">
      <w:pPr>
        <w:rPr>
          <w:sz w:val="24"/>
          <w:szCs w:val="24"/>
        </w:rPr>
      </w:pPr>
      <w:r w:rsidRPr="004357B4">
        <w:rPr>
          <w:sz w:val="24"/>
          <w:szCs w:val="24"/>
        </w:rPr>
        <w:t>HIPAA's 30-day timeframe for providing access to medical records can be undercut by state laws requiring faster responses. A resource from healthinfolaw.org indicates that 13 states have stricter patient access laws than HIPAA, often with shorter deadlines. Examples include:</w:t>
      </w:r>
    </w:p>
    <w:p w14:paraId="4207C2E8" w14:textId="77777777" w:rsidR="004357B4" w:rsidRPr="004357B4" w:rsidRDefault="004357B4" w:rsidP="004357B4">
      <w:pPr>
        <w:rPr>
          <w:sz w:val="24"/>
          <w:szCs w:val="24"/>
        </w:rPr>
      </w:pPr>
      <w:r w:rsidRPr="004357B4">
        <w:rPr>
          <w:sz w:val="24"/>
          <w:szCs w:val="24"/>
        </w:rPr>
        <w:t>California: The California Health and Safety Code (§ 123110) requires healthcare providers to allow patients to inspect their records within 5 working days of a request and provide copies within 15 days—both shorter than HIPAA's 30-day standard.</w:t>
      </w:r>
    </w:p>
    <w:p w14:paraId="3ECD1EA4" w14:textId="77777777" w:rsidR="004357B4" w:rsidRPr="004357B4" w:rsidRDefault="004357B4" w:rsidP="004357B4">
      <w:pPr>
        <w:rPr>
          <w:sz w:val="24"/>
          <w:szCs w:val="24"/>
        </w:rPr>
      </w:pPr>
      <w:r w:rsidRPr="004357B4">
        <w:rPr>
          <w:sz w:val="24"/>
          <w:szCs w:val="24"/>
        </w:rPr>
        <w:t>New York: New York Public Health Law (§ 17) mandates that hospitals provide records within 10 days of a written request, significantly faster than HIPAA.</w:t>
      </w:r>
    </w:p>
    <w:p w14:paraId="5E1D43AE" w14:textId="77777777" w:rsidR="004357B4" w:rsidRPr="004357B4" w:rsidRDefault="004357B4" w:rsidP="004357B4">
      <w:pPr>
        <w:rPr>
          <w:sz w:val="24"/>
          <w:szCs w:val="24"/>
        </w:rPr>
      </w:pPr>
      <w:r w:rsidRPr="004357B4">
        <w:rPr>
          <w:sz w:val="24"/>
          <w:szCs w:val="24"/>
        </w:rPr>
        <w:t>Texas: The Texas Health and Safety Code (§ 241.154) requires hospitals to provide records within 15 days, half of HIPAA's timeframe.</w:t>
      </w:r>
    </w:p>
    <w:p w14:paraId="23BA5CB4" w14:textId="77777777" w:rsidR="004357B4" w:rsidRPr="004357B4" w:rsidRDefault="004357B4" w:rsidP="004357B4">
      <w:pPr>
        <w:rPr>
          <w:sz w:val="24"/>
          <w:szCs w:val="24"/>
        </w:rPr>
      </w:pPr>
      <w:r w:rsidRPr="004357B4">
        <w:rPr>
          <w:sz w:val="24"/>
          <w:szCs w:val="24"/>
        </w:rPr>
        <w:t>Colorado: Colorado Revised Statutes (§ 25-1-801) require access within 10 days for current patients, stricter than HIPAA's 30 days.</w:t>
      </w:r>
    </w:p>
    <w:p w14:paraId="3F832DD9" w14:textId="77777777" w:rsidR="004357B4" w:rsidRPr="004357B4" w:rsidRDefault="004357B4" w:rsidP="004357B4">
      <w:pPr>
        <w:rPr>
          <w:sz w:val="24"/>
          <w:szCs w:val="24"/>
        </w:rPr>
      </w:pPr>
      <w:r w:rsidRPr="004357B4">
        <w:rPr>
          <w:sz w:val="24"/>
          <w:szCs w:val="24"/>
        </w:rPr>
        <w:t>Maryland: Maryland law (Health-General § 4-304) mandates that providers furnish records within 21 days, tighter than HIPAA's 30-day limit.</w:t>
      </w:r>
    </w:p>
    <w:p w14:paraId="2682AA1C" w14:textId="77777777" w:rsidR="004357B4" w:rsidRPr="004357B4" w:rsidRDefault="004357B4" w:rsidP="004357B4">
      <w:pPr>
        <w:rPr>
          <w:sz w:val="24"/>
          <w:szCs w:val="24"/>
        </w:rPr>
      </w:pPr>
      <w:r w:rsidRPr="004357B4">
        <w:rPr>
          <w:sz w:val="24"/>
          <w:szCs w:val="24"/>
        </w:rPr>
        <w:t>Massachusetts: Massachusetts General Laws (Ch. 111, § 70) require hospitals to provide records within 10 days, outpacing HIPAA.</w:t>
      </w:r>
    </w:p>
    <w:p w14:paraId="7DC4CA90" w14:textId="77777777" w:rsidR="004357B4" w:rsidRPr="004357B4" w:rsidRDefault="004357B4" w:rsidP="004357B4">
      <w:pPr>
        <w:rPr>
          <w:sz w:val="24"/>
          <w:szCs w:val="24"/>
        </w:rPr>
      </w:pPr>
      <w:r w:rsidRPr="004357B4">
        <w:rPr>
          <w:sz w:val="24"/>
          <w:szCs w:val="24"/>
        </w:rPr>
        <w:lastRenderedPageBreak/>
        <w:t>Minnesota: Minnesota Statutes (§ 144.292) stipulate that providers must furnish records within 10 business days, stricter than HIPAA's calendar-day count.</w:t>
      </w:r>
    </w:p>
    <w:p w14:paraId="019BE0B7" w14:textId="77777777" w:rsidR="004357B4" w:rsidRPr="004357B4" w:rsidRDefault="004357B4" w:rsidP="004357B4">
      <w:pPr>
        <w:rPr>
          <w:sz w:val="24"/>
          <w:szCs w:val="24"/>
        </w:rPr>
      </w:pPr>
      <w:r w:rsidRPr="004357B4">
        <w:rPr>
          <w:sz w:val="24"/>
          <w:szCs w:val="24"/>
        </w:rPr>
        <w:t>New Hampshire: New Hampshire Revised Statutes (§ 151:21) require access within 10 days, beating HIPAA's timeframe.</w:t>
      </w:r>
    </w:p>
    <w:p w14:paraId="54087D42" w14:textId="77777777" w:rsidR="004357B4" w:rsidRPr="004357B4" w:rsidRDefault="004357B4" w:rsidP="004357B4">
      <w:pPr>
        <w:rPr>
          <w:sz w:val="24"/>
          <w:szCs w:val="24"/>
        </w:rPr>
      </w:pPr>
      <w:r w:rsidRPr="004357B4">
        <w:rPr>
          <w:sz w:val="24"/>
          <w:szCs w:val="24"/>
        </w:rPr>
        <w:t>Oregon: Oregon Revised Statutes (§ 192.553) mandate access within 10 days, shorter than HIPAA.</w:t>
      </w:r>
    </w:p>
    <w:p w14:paraId="64BA3055" w14:textId="77777777" w:rsidR="004357B4" w:rsidRPr="004357B4" w:rsidRDefault="004357B4" w:rsidP="004357B4">
      <w:pPr>
        <w:rPr>
          <w:sz w:val="24"/>
          <w:szCs w:val="24"/>
        </w:rPr>
      </w:pPr>
      <w:r w:rsidRPr="004357B4">
        <w:rPr>
          <w:sz w:val="24"/>
          <w:szCs w:val="24"/>
        </w:rPr>
        <w:t>Washington: Washington Revised Code (§ 70.02.080) requires access within 15 days, stricter than HIPAA's 30 days.</w:t>
      </w:r>
    </w:p>
    <w:p w14:paraId="55DD0CA3" w14:textId="77777777" w:rsidR="004357B4" w:rsidRPr="004357B4" w:rsidRDefault="004357B4" w:rsidP="004357B4">
      <w:pPr>
        <w:rPr>
          <w:sz w:val="24"/>
          <w:szCs w:val="24"/>
        </w:rPr>
      </w:pPr>
      <w:r w:rsidRPr="004357B4">
        <w:rPr>
          <w:sz w:val="24"/>
          <w:szCs w:val="24"/>
        </w:rPr>
        <w:t>Additional states identified with shorter timeframes (often 10–20 days) include Connecticut, Louisiana, and Virginia, though specific statutes vary in application (e.g., applying to hospitals vs. all providers). These 13 states collectively demonstrate a trend of enhancing patient access rights beyond HIPAA.</w:t>
      </w:r>
    </w:p>
    <w:p w14:paraId="1C3AA84D" w14:textId="77777777" w:rsidR="004357B4" w:rsidRPr="004357B4" w:rsidRDefault="004357B4" w:rsidP="004357B4">
      <w:pPr>
        <w:rPr>
          <w:b/>
          <w:bCs/>
          <w:sz w:val="24"/>
          <w:szCs w:val="24"/>
          <w:u w:val="single"/>
        </w:rPr>
      </w:pPr>
      <w:r w:rsidRPr="004357B4">
        <w:rPr>
          <w:b/>
          <w:bCs/>
          <w:sz w:val="24"/>
          <w:szCs w:val="24"/>
          <w:u w:val="single"/>
        </w:rPr>
        <w:t>Breach Notification (Shorter than 60 Days)</w:t>
      </w:r>
    </w:p>
    <w:p w14:paraId="1BB6CC13" w14:textId="77777777" w:rsidR="004357B4" w:rsidRDefault="004357B4" w:rsidP="004357B4">
      <w:pPr>
        <w:rPr>
          <w:sz w:val="24"/>
          <w:szCs w:val="24"/>
        </w:rPr>
      </w:pPr>
      <w:r w:rsidRPr="004357B4">
        <w:rPr>
          <w:sz w:val="24"/>
          <w:szCs w:val="24"/>
        </w:rPr>
        <w:t xml:space="preserve">HIPAA's 60-day breach notification window can be superseded by state data breach laws that apply to PHI and require faster reporting. While HIPAA governs healthcare-specific breaches, state laws often cover broader personal information, including health data, and can impose tighter deadlines. </w:t>
      </w:r>
    </w:p>
    <w:p w14:paraId="115758B5" w14:textId="22AE81D0" w:rsidR="004357B4" w:rsidRPr="004357B4" w:rsidRDefault="004357B4" w:rsidP="004357B4">
      <w:pPr>
        <w:rPr>
          <w:sz w:val="24"/>
          <w:szCs w:val="24"/>
        </w:rPr>
      </w:pPr>
      <w:r w:rsidRPr="004357B4">
        <w:rPr>
          <w:sz w:val="24"/>
          <w:szCs w:val="24"/>
        </w:rPr>
        <w:t>Examples include:</w:t>
      </w:r>
    </w:p>
    <w:p w14:paraId="5EF2DD36" w14:textId="77777777" w:rsidR="004357B4" w:rsidRPr="004357B4" w:rsidRDefault="004357B4" w:rsidP="004357B4">
      <w:pPr>
        <w:rPr>
          <w:sz w:val="24"/>
          <w:szCs w:val="24"/>
        </w:rPr>
      </w:pPr>
      <w:r w:rsidRPr="004357B4">
        <w:rPr>
          <w:sz w:val="24"/>
          <w:szCs w:val="24"/>
        </w:rPr>
        <w:t>California: The California Confidentiality of Medical Information Act (CMIA, Civil Code § 56.101) and the California Consumer Privacy Act (CCPA) align with general breach laws requiring notification "in the most expedient time possible and without unreasonable delay," often interpreted as faster than 60 days. Case law and guidance suggest a 30-day practical expectation.</w:t>
      </w:r>
    </w:p>
    <w:p w14:paraId="261D4912" w14:textId="77777777" w:rsidR="004357B4" w:rsidRPr="004357B4" w:rsidRDefault="004357B4" w:rsidP="004357B4">
      <w:pPr>
        <w:rPr>
          <w:sz w:val="24"/>
          <w:szCs w:val="24"/>
        </w:rPr>
      </w:pPr>
      <w:r w:rsidRPr="004357B4">
        <w:rPr>
          <w:sz w:val="24"/>
          <w:szCs w:val="24"/>
        </w:rPr>
        <w:t>Texas: The Texas Medical Records Privacy Act (Health and Safety Code § 181.151) requires notification within 60 days but encourages faster reporting, and the general Texas breach law (§ 521.053) mandates notification "as quickly as possible," often enforced as 30 days or less.</w:t>
      </w:r>
    </w:p>
    <w:p w14:paraId="4C88F2F5" w14:textId="77777777" w:rsidR="004357B4" w:rsidRPr="004357B4" w:rsidRDefault="004357B4" w:rsidP="004357B4">
      <w:pPr>
        <w:rPr>
          <w:sz w:val="24"/>
          <w:szCs w:val="24"/>
        </w:rPr>
      </w:pPr>
      <w:r w:rsidRPr="004357B4">
        <w:rPr>
          <w:sz w:val="24"/>
          <w:szCs w:val="24"/>
        </w:rPr>
        <w:t>Florida: Florida’s Information Protection Act (F.S. § 501.171) requires breach notification within 30 days, applying to PHI and overriding HIPAA’s 60-day limit when stricter.</w:t>
      </w:r>
    </w:p>
    <w:p w14:paraId="3CDD7C6B" w14:textId="77777777" w:rsidR="004357B4" w:rsidRPr="004357B4" w:rsidRDefault="004357B4" w:rsidP="004357B4">
      <w:pPr>
        <w:rPr>
          <w:sz w:val="24"/>
          <w:szCs w:val="24"/>
        </w:rPr>
      </w:pPr>
      <w:r w:rsidRPr="004357B4">
        <w:rPr>
          <w:sz w:val="24"/>
          <w:szCs w:val="24"/>
        </w:rPr>
        <w:t>Alaska: Alaska Statutes (§ 45.48.010) mandate notification within 45 days for breaches of personal information, including health data, stricter than HIPAA.</w:t>
      </w:r>
    </w:p>
    <w:p w14:paraId="17FADF6D" w14:textId="77777777" w:rsidR="004357B4" w:rsidRPr="004357B4" w:rsidRDefault="004357B4" w:rsidP="004357B4">
      <w:pPr>
        <w:rPr>
          <w:sz w:val="24"/>
          <w:szCs w:val="24"/>
        </w:rPr>
      </w:pPr>
      <w:r w:rsidRPr="004357B4">
        <w:rPr>
          <w:sz w:val="24"/>
          <w:szCs w:val="24"/>
        </w:rPr>
        <w:t>Colorado: Colorado Revised Statutes (§ 6-1-716) require notification within 30 days, applying to PHI and outpacing HIPAA.</w:t>
      </w:r>
    </w:p>
    <w:p w14:paraId="0E5A282D" w14:textId="77777777" w:rsidR="004357B4" w:rsidRPr="004357B4" w:rsidRDefault="004357B4" w:rsidP="004357B4">
      <w:pPr>
        <w:rPr>
          <w:sz w:val="24"/>
          <w:szCs w:val="24"/>
        </w:rPr>
      </w:pPr>
      <w:r w:rsidRPr="004357B4">
        <w:rPr>
          <w:sz w:val="24"/>
          <w:szCs w:val="24"/>
        </w:rPr>
        <w:lastRenderedPageBreak/>
        <w:t>Illinois: The Personal Information Protection Act (815 ILCS 530/10) mandates notification "in the most expedient time possible" and no later than 45 days, stricter than HIPAA’s 60 days.</w:t>
      </w:r>
    </w:p>
    <w:p w14:paraId="33C3F614" w14:textId="77777777" w:rsidR="004357B4" w:rsidRPr="004357B4" w:rsidRDefault="004357B4" w:rsidP="004357B4">
      <w:pPr>
        <w:rPr>
          <w:sz w:val="24"/>
          <w:szCs w:val="24"/>
        </w:rPr>
      </w:pPr>
      <w:r w:rsidRPr="004357B4">
        <w:rPr>
          <w:sz w:val="24"/>
          <w:szCs w:val="24"/>
        </w:rPr>
        <w:t>Oregon: Oregon Revised Statutes (§ 646A.604) require notification within 45 days, applying to health information and beating HIPAA’s timeframe.</w:t>
      </w:r>
    </w:p>
    <w:p w14:paraId="7FC42BC9" w14:textId="267732F0" w:rsidR="004357B4" w:rsidRPr="004357B4" w:rsidRDefault="004357B4" w:rsidP="004357B4">
      <w:pPr>
        <w:rPr>
          <w:sz w:val="24"/>
          <w:szCs w:val="24"/>
        </w:rPr>
      </w:pPr>
      <w:r w:rsidRPr="004357B4">
        <w:rPr>
          <w:sz w:val="24"/>
          <w:szCs w:val="24"/>
        </w:rPr>
        <w:t>Washington: Washington Revised Code (§ 19.255.010) mandates notification within 30 days, covering PHI, and is stricter than HIPAA.</w:t>
      </w:r>
    </w:p>
    <w:p w14:paraId="23D0CC03" w14:textId="77777777" w:rsidR="004357B4" w:rsidRPr="004357B4" w:rsidRDefault="004357B4" w:rsidP="004357B4">
      <w:pPr>
        <w:rPr>
          <w:sz w:val="24"/>
          <w:szCs w:val="24"/>
        </w:rPr>
      </w:pPr>
      <w:r w:rsidRPr="004357B4">
        <w:rPr>
          <w:sz w:val="24"/>
          <w:szCs w:val="24"/>
        </w:rPr>
        <w:t>Other states like Connecticut (36a-701b, 45 days), Louisiana (51:3074, 45 days), and Maryland (14-3504, 45 days) also impose breach notification deadlines shorter than 60 days, often extending to health data under broader privacy laws.</w:t>
      </w:r>
    </w:p>
    <w:p w14:paraId="1C2F4AA9" w14:textId="77777777" w:rsidR="004357B4" w:rsidRPr="004357B4" w:rsidRDefault="004357B4" w:rsidP="004357B4">
      <w:pPr>
        <w:rPr>
          <w:sz w:val="24"/>
          <w:szCs w:val="24"/>
        </w:rPr>
      </w:pPr>
      <w:r w:rsidRPr="004357B4">
        <w:rPr>
          <w:sz w:val="24"/>
          <w:szCs w:val="24"/>
        </w:rPr>
        <w:t>Analysis and Count</w:t>
      </w:r>
    </w:p>
    <w:p w14:paraId="5D4FF861" w14:textId="77777777" w:rsidR="004357B4" w:rsidRPr="004357B4" w:rsidRDefault="004357B4" w:rsidP="004357B4">
      <w:pPr>
        <w:rPr>
          <w:sz w:val="24"/>
          <w:szCs w:val="24"/>
        </w:rPr>
      </w:pPr>
      <w:r w:rsidRPr="004357B4">
        <w:rPr>
          <w:sz w:val="24"/>
          <w:szCs w:val="24"/>
        </w:rPr>
        <w:t>Patient Access Rights: At least 13 states (e.g., CA, NY, TX, CO, MD, MA, MN, NH, OR, WA, CT, LA, VA) have laws requiring access in less than 30 days, with timeframes ranging from 5 to 21 days.</w:t>
      </w:r>
    </w:p>
    <w:p w14:paraId="5FF889E9" w14:textId="77777777" w:rsidR="004357B4" w:rsidRPr="004357B4" w:rsidRDefault="004357B4" w:rsidP="004357B4">
      <w:pPr>
        <w:rPr>
          <w:sz w:val="24"/>
          <w:szCs w:val="24"/>
        </w:rPr>
      </w:pPr>
      <w:r w:rsidRPr="004357B4">
        <w:rPr>
          <w:sz w:val="24"/>
          <w:szCs w:val="24"/>
        </w:rPr>
        <w:t>Breach Notification: At least 10 states (e.g., CA, TX, FL, AK, CO, IL, OR, WA, CT, MD) have deadlines shorter than 60 days, typically 30–45 days, with some pushing for "as soon as possible."</w:t>
      </w:r>
    </w:p>
    <w:p w14:paraId="5CCFA654" w14:textId="4797E1CD" w:rsidR="004357B4" w:rsidRPr="004357B4" w:rsidRDefault="004357B4" w:rsidP="004357B4">
      <w:pPr>
        <w:rPr>
          <w:sz w:val="24"/>
          <w:szCs w:val="24"/>
        </w:rPr>
      </w:pPr>
      <w:r w:rsidRPr="004357B4">
        <w:rPr>
          <w:sz w:val="24"/>
          <w:szCs w:val="24"/>
        </w:rPr>
        <w:t xml:space="preserve">Some states overlap in both categories (e.g., California, Texas, Colorado, Oregon, Washington, Connecticut, and Maryland), reflecting a broader commitment to heightened privacy protections. However, the exact application depends on whether state laws specifically target PHI or apply generally to personal data, including health information. </w:t>
      </w:r>
    </w:p>
    <w:sectPr w:rsidR="004357B4" w:rsidRPr="004357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D117F" w14:textId="77777777" w:rsidR="00B55F8C" w:rsidRDefault="00B55F8C" w:rsidP="004357B4">
      <w:pPr>
        <w:spacing w:after="0" w:line="240" w:lineRule="auto"/>
      </w:pPr>
      <w:r>
        <w:separator/>
      </w:r>
    </w:p>
  </w:endnote>
  <w:endnote w:type="continuationSeparator" w:id="0">
    <w:p w14:paraId="05607330" w14:textId="77777777" w:rsidR="00B55F8C" w:rsidRDefault="00B55F8C" w:rsidP="004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E1D4" w14:textId="77777777" w:rsidR="004357B4" w:rsidRDefault="00435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CD01" w14:textId="030F9BA1" w:rsidR="004357B4" w:rsidRDefault="004357B4">
    <w:pPr>
      <w:pStyle w:val="Footer"/>
    </w:pPr>
    <w:r>
      <w:t>HIPAA Notice of Privacy Practices State Variances</w:t>
    </w:r>
  </w:p>
  <w:p w14:paraId="7E8ADDEC" w14:textId="5F3C460F" w:rsidR="004357B4" w:rsidRDefault="004357B4">
    <w:pPr>
      <w:pStyle w:val="Footer"/>
    </w:pPr>
    <w:r>
      <w:t xml:space="preserve">140 HIPAA Exhibit </w:t>
    </w:r>
    <w:proofErr w:type="gramStart"/>
    <w:r>
      <w:t>A  4</w:t>
    </w:r>
    <w:proofErr w:type="gramEnd"/>
    <w:r>
      <w:t>-2-25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8F72" w14:textId="77777777" w:rsidR="004357B4" w:rsidRDefault="0043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07E83" w14:textId="77777777" w:rsidR="00B55F8C" w:rsidRDefault="00B55F8C" w:rsidP="004357B4">
      <w:pPr>
        <w:spacing w:after="0" w:line="240" w:lineRule="auto"/>
      </w:pPr>
      <w:r>
        <w:separator/>
      </w:r>
    </w:p>
  </w:footnote>
  <w:footnote w:type="continuationSeparator" w:id="0">
    <w:p w14:paraId="265D7FD8" w14:textId="77777777" w:rsidR="00B55F8C" w:rsidRDefault="00B55F8C" w:rsidP="0043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1754" w14:textId="77777777" w:rsidR="004357B4" w:rsidRDefault="00435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531A" w14:textId="2A1B18DF" w:rsidR="004357B4" w:rsidRPr="004357B4" w:rsidRDefault="004357B4">
    <w:pPr>
      <w:pStyle w:val="Header"/>
      <w:rPr>
        <w:b/>
        <w:bCs/>
        <w:sz w:val="36"/>
        <w:szCs w:val="36"/>
      </w:rPr>
    </w:pPr>
    <w:r w:rsidRPr="004357B4">
      <w:rPr>
        <w:b/>
        <w:bCs/>
        <w:sz w:val="36"/>
        <w:szCs w:val="36"/>
      </w:rPr>
      <w:t>HIPAA Notice of Privacy Practices Exhibit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2646" w14:textId="77777777" w:rsidR="004357B4" w:rsidRDefault="00435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B32A6"/>
    <w:multiLevelType w:val="multilevel"/>
    <w:tmpl w:val="6B34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51051"/>
    <w:multiLevelType w:val="multilevel"/>
    <w:tmpl w:val="71B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82294"/>
    <w:multiLevelType w:val="multilevel"/>
    <w:tmpl w:val="8D20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F16FF"/>
    <w:multiLevelType w:val="multilevel"/>
    <w:tmpl w:val="DDC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871901">
    <w:abstractNumId w:val="1"/>
  </w:num>
  <w:num w:numId="2" w16cid:durableId="1162090069">
    <w:abstractNumId w:val="2"/>
  </w:num>
  <w:num w:numId="3" w16cid:durableId="574126229">
    <w:abstractNumId w:val="3"/>
  </w:num>
  <w:num w:numId="4" w16cid:durableId="98142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B4"/>
    <w:rsid w:val="004357B4"/>
    <w:rsid w:val="004576A7"/>
    <w:rsid w:val="00777BE9"/>
    <w:rsid w:val="008213F1"/>
    <w:rsid w:val="00AF4CF1"/>
    <w:rsid w:val="00B55F8C"/>
    <w:rsid w:val="00F8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04437C"/>
  <w15:chartTrackingRefBased/>
  <w15:docId w15:val="{CE5BCC89-9D3C-4C6C-9B28-A0381E2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7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7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57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57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57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57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57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7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7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57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57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57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57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57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5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7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7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57B4"/>
    <w:pPr>
      <w:spacing w:before="160"/>
      <w:jc w:val="center"/>
    </w:pPr>
    <w:rPr>
      <w:i/>
      <w:iCs/>
      <w:color w:val="404040" w:themeColor="text1" w:themeTint="BF"/>
    </w:rPr>
  </w:style>
  <w:style w:type="character" w:customStyle="1" w:styleId="QuoteChar">
    <w:name w:val="Quote Char"/>
    <w:basedOn w:val="DefaultParagraphFont"/>
    <w:link w:val="Quote"/>
    <w:uiPriority w:val="29"/>
    <w:rsid w:val="004357B4"/>
    <w:rPr>
      <w:i/>
      <w:iCs/>
      <w:color w:val="404040" w:themeColor="text1" w:themeTint="BF"/>
    </w:rPr>
  </w:style>
  <w:style w:type="paragraph" w:styleId="ListParagraph">
    <w:name w:val="List Paragraph"/>
    <w:basedOn w:val="Normal"/>
    <w:uiPriority w:val="34"/>
    <w:qFormat/>
    <w:rsid w:val="004357B4"/>
    <w:pPr>
      <w:ind w:left="720"/>
      <w:contextualSpacing/>
    </w:pPr>
  </w:style>
  <w:style w:type="character" w:styleId="IntenseEmphasis">
    <w:name w:val="Intense Emphasis"/>
    <w:basedOn w:val="DefaultParagraphFont"/>
    <w:uiPriority w:val="21"/>
    <w:qFormat/>
    <w:rsid w:val="004357B4"/>
    <w:rPr>
      <w:i/>
      <w:iCs/>
      <w:color w:val="0F4761" w:themeColor="accent1" w:themeShade="BF"/>
    </w:rPr>
  </w:style>
  <w:style w:type="paragraph" w:styleId="IntenseQuote">
    <w:name w:val="Intense Quote"/>
    <w:basedOn w:val="Normal"/>
    <w:next w:val="Normal"/>
    <w:link w:val="IntenseQuoteChar"/>
    <w:uiPriority w:val="30"/>
    <w:qFormat/>
    <w:rsid w:val="00435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7B4"/>
    <w:rPr>
      <w:i/>
      <w:iCs/>
      <w:color w:val="0F4761" w:themeColor="accent1" w:themeShade="BF"/>
    </w:rPr>
  </w:style>
  <w:style w:type="character" w:styleId="IntenseReference">
    <w:name w:val="Intense Reference"/>
    <w:basedOn w:val="DefaultParagraphFont"/>
    <w:uiPriority w:val="32"/>
    <w:qFormat/>
    <w:rsid w:val="004357B4"/>
    <w:rPr>
      <w:b/>
      <w:bCs/>
      <w:smallCaps/>
      <w:color w:val="0F4761" w:themeColor="accent1" w:themeShade="BF"/>
      <w:spacing w:val="5"/>
    </w:rPr>
  </w:style>
  <w:style w:type="paragraph" w:styleId="Header">
    <w:name w:val="header"/>
    <w:basedOn w:val="Normal"/>
    <w:link w:val="HeaderChar"/>
    <w:uiPriority w:val="99"/>
    <w:unhideWhenUsed/>
    <w:rsid w:val="0043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7B4"/>
  </w:style>
  <w:style w:type="paragraph" w:styleId="Footer">
    <w:name w:val="footer"/>
    <w:basedOn w:val="Normal"/>
    <w:link w:val="FooterChar"/>
    <w:uiPriority w:val="99"/>
    <w:unhideWhenUsed/>
    <w:rsid w:val="0043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450">
      <w:bodyDiv w:val="1"/>
      <w:marLeft w:val="0"/>
      <w:marRight w:val="0"/>
      <w:marTop w:val="0"/>
      <w:marBottom w:val="0"/>
      <w:divBdr>
        <w:top w:val="none" w:sz="0" w:space="0" w:color="auto"/>
        <w:left w:val="none" w:sz="0" w:space="0" w:color="auto"/>
        <w:bottom w:val="none" w:sz="0" w:space="0" w:color="auto"/>
        <w:right w:val="none" w:sz="0" w:space="0" w:color="auto"/>
      </w:divBdr>
      <w:divsChild>
        <w:div w:id="10840312">
          <w:marLeft w:val="0"/>
          <w:marRight w:val="0"/>
          <w:marTop w:val="0"/>
          <w:marBottom w:val="300"/>
          <w:divBdr>
            <w:top w:val="single" w:sz="2" w:space="0" w:color="000000"/>
            <w:left w:val="single" w:sz="2" w:space="0" w:color="000000"/>
            <w:bottom w:val="single" w:sz="2" w:space="0" w:color="000000"/>
            <w:right w:val="single" w:sz="2" w:space="0" w:color="000000"/>
          </w:divBdr>
        </w:div>
        <w:div w:id="214776224">
          <w:marLeft w:val="0"/>
          <w:marRight w:val="0"/>
          <w:marTop w:val="312"/>
          <w:marBottom w:val="144"/>
          <w:divBdr>
            <w:top w:val="single" w:sz="2" w:space="0" w:color="000000"/>
            <w:left w:val="single" w:sz="2" w:space="0" w:color="000000"/>
            <w:bottom w:val="single" w:sz="2" w:space="0" w:color="000000"/>
            <w:right w:val="single" w:sz="2" w:space="0" w:color="000000"/>
          </w:divBdr>
        </w:div>
        <w:div w:id="1512186893">
          <w:marLeft w:val="0"/>
          <w:marRight w:val="0"/>
          <w:marTop w:val="0"/>
          <w:marBottom w:val="0"/>
          <w:divBdr>
            <w:top w:val="single" w:sz="2" w:space="0" w:color="000000"/>
            <w:left w:val="single" w:sz="2" w:space="0" w:color="000000"/>
            <w:bottom w:val="single" w:sz="2" w:space="0" w:color="000000"/>
            <w:right w:val="single" w:sz="2" w:space="0" w:color="000000"/>
          </w:divBdr>
        </w:div>
        <w:div w:id="260340057">
          <w:marLeft w:val="0"/>
          <w:marRight w:val="0"/>
          <w:marTop w:val="0"/>
          <w:marBottom w:val="0"/>
          <w:divBdr>
            <w:top w:val="single" w:sz="2" w:space="0" w:color="000000"/>
            <w:left w:val="single" w:sz="2" w:space="0" w:color="000000"/>
            <w:bottom w:val="single" w:sz="2" w:space="0" w:color="000000"/>
            <w:right w:val="single" w:sz="2" w:space="0" w:color="000000"/>
          </w:divBdr>
        </w:div>
        <w:div w:id="1685327937">
          <w:marLeft w:val="0"/>
          <w:marRight w:val="0"/>
          <w:marTop w:val="312"/>
          <w:marBottom w:val="144"/>
          <w:divBdr>
            <w:top w:val="single" w:sz="2" w:space="0" w:color="000000"/>
            <w:left w:val="single" w:sz="2" w:space="0" w:color="000000"/>
            <w:bottom w:val="single" w:sz="2" w:space="0" w:color="000000"/>
            <w:right w:val="single" w:sz="2" w:space="0" w:color="000000"/>
          </w:divBdr>
        </w:div>
        <w:div w:id="548539952">
          <w:marLeft w:val="0"/>
          <w:marRight w:val="0"/>
          <w:marTop w:val="0"/>
          <w:marBottom w:val="300"/>
          <w:divBdr>
            <w:top w:val="single" w:sz="2" w:space="0" w:color="000000"/>
            <w:left w:val="single" w:sz="2" w:space="0" w:color="000000"/>
            <w:bottom w:val="single" w:sz="2" w:space="0" w:color="000000"/>
            <w:right w:val="single" w:sz="2" w:space="0" w:color="000000"/>
          </w:divBdr>
        </w:div>
        <w:div w:id="1676345814">
          <w:marLeft w:val="0"/>
          <w:marRight w:val="0"/>
          <w:marTop w:val="0"/>
          <w:marBottom w:val="0"/>
          <w:divBdr>
            <w:top w:val="single" w:sz="2" w:space="0" w:color="000000"/>
            <w:left w:val="single" w:sz="2" w:space="0" w:color="000000"/>
            <w:bottom w:val="single" w:sz="2" w:space="0" w:color="000000"/>
            <w:right w:val="single" w:sz="2" w:space="0" w:color="000000"/>
          </w:divBdr>
        </w:div>
        <w:div w:id="1819760328">
          <w:marLeft w:val="0"/>
          <w:marRight w:val="0"/>
          <w:marTop w:val="0"/>
          <w:marBottom w:val="300"/>
          <w:divBdr>
            <w:top w:val="single" w:sz="2" w:space="0" w:color="000000"/>
            <w:left w:val="single" w:sz="2" w:space="0" w:color="000000"/>
            <w:bottom w:val="single" w:sz="2" w:space="0" w:color="000000"/>
            <w:right w:val="single" w:sz="2" w:space="0" w:color="000000"/>
          </w:divBdr>
        </w:div>
        <w:div w:id="478573931">
          <w:marLeft w:val="0"/>
          <w:marRight w:val="0"/>
          <w:marTop w:val="0"/>
          <w:marBottom w:val="0"/>
          <w:divBdr>
            <w:top w:val="single" w:sz="2" w:space="0" w:color="000000"/>
            <w:left w:val="single" w:sz="2" w:space="0" w:color="000000"/>
            <w:bottom w:val="single" w:sz="2" w:space="0" w:color="000000"/>
            <w:right w:val="single" w:sz="2" w:space="0" w:color="000000"/>
          </w:divBdr>
        </w:div>
        <w:div w:id="721832244">
          <w:marLeft w:val="0"/>
          <w:marRight w:val="0"/>
          <w:marTop w:val="0"/>
          <w:marBottom w:val="0"/>
          <w:divBdr>
            <w:top w:val="single" w:sz="2" w:space="0" w:color="000000"/>
            <w:left w:val="single" w:sz="2" w:space="0" w:color="000000"/>
            <w:bottom w:val="single" w:sz="2" w:space="0" w:color="000000"/>
            <w:right w:val="single" w:sz="2" w:space="0" w:color="000000"/>
          </w:divBdr>
        </w:div>
        <w:div w:id="1642928062">
          <w:marLeft w:val="0"/>
          <w:marRight w:val="0"/>
          <w:marTop w:val="0"/>
          <w:marBottom w:val="0"/>
          <w:divBdr>
            <w:top w:val="single" w:sz="2" w:space="0" w:color="000000"/>
            <w:left w:val="single" w:sz="2" w:space="0" w:color="000000"/>
            <w:bottom w:val="single" w:sz="2" w:space="0" w:color="000000"/>
            <w:right w:val="single" w:sz="2" w:space="0" w:color="000000"/>
          </w:divBdr>
        </w:div>
        <w:div w:id="1640694804">
          <w:marLeft w:val="0"/>
          <w:marRight w:val="0"/>
          <w:marTop w:val="0"/>
          <w:marBottom w:val="0"/>
          <w:divBdr>
            <w:top w:val="single" w:sz="2" w:space="0" w:color="000000"/>
            <w:left w:val="single" w:sz="2" w:space="0" w:color="000000"/>
            <w:bottom w:val="single" w:sz="2" w:space="0" w:color="000000"/>
            <w:right w:val="single" w:sz="2" w:space="0" w:color="000000"/>
          </w:divBdr>
        </w:div>
        <w:div w:id="227230259">
          <w:marLeft w:val="0"/>
          <w:marRight w:val="0"/>
          <w:marTop w:val="0"/>
          <w:marBottom w:val="0"/>
          <w:divBdr>
            <w:top w:val="single" w:sz="2" w:space="0" w:color="000000"/>
            <w:left w:val="single" w:sz="2" w:space="0" w:color="000000"/>
            <w:bottom w:val="single" w:sz="2" w:space="0" w:color="000000"/>
            <w:right w:val="single" w:sz="2" w:space="0" w:color="000000"/>
          </w:divBdr>
        </w:div>
        <w:div w:id="857085460">
          <w:marLeft w:val="0"/>
          <w:marRight w:val="0"/>
          <w:marTop w:val="0"/>
          <w:marBottom w:val="0"/>
          <w:divBdr>
            <w:top w:val="single" w:sz="2" w:space="0" w:color="000000"/>
            <w:left w:val="single" w:sz="2" w:space="0" w:color="000000"/>
            <w:bottom w:val="single" w:sz="2" w:space="0" w:color="000000"/>
            <w:right w:val="single" w:sz="2" w:space="0" w:color="000000"/>
          </w:divBdr>
        </w:div>
        <w:div w:id="273368316">
          <w:marLeft w:val="0"/>
          <w:marRight w:val="0"/>
          <w:marTop w:val="0"/>
          <w:marBottom w:val="0"/>
          <w:divBdr>
            <w:top w:val="single" w:sz="2" w:space="0" w:color="000000"/>
            <w:left w:val="single" w:sz="2" w:space="0" w:color="000000"/>
            <w:bottom w:val="single" w:sz="2" w:space="0" w:color="000000"/>
            <w:right w:val="single" w:sz="2" w:space="0" w:color="000000"/>
          </w:divBdr>
        </w:div>
        <w:div w:id="81342846">
          <w:marLeft w:val="0"/>
          <w:marRight w:val="0"/>
          <w:marTop w:val="0"/>
          <w:marBottom w:val="0"/>
          <w:divBdr>
            <w:top w:val="single" w:sz="2" w:space="0" w:color="000000"/>
            <w:left w:val="single" w:sz="2" w:space="0" w:color="000000"/>
            <w:bottom w:val="single" w:sz="2" w:space="0" w:color="000000"/>
            <w:right w:val="single" w:sz="2" w:space="0" w:color="000000"/>
          </w:divBdr>
        </w:div>
        <w:div w:id="1019238698">
          <w:marLeft w:val="0"/>
          <w:marRight w:val="0"/>
          <w:marTop w:val="0"/>
          <w:marBottom w:val="0"/>
          <w:divBdr>
            <w:top w:val="single" w:sz="2" w:space="0" w:color="000000"/>
            <w:left w:val="single" w:sz="2" w:space="0" w:color="000000"/>
            <w:bottom w:val="single" w:sz="2" w:space="0" w:color="000000"/>
            <w:right w:val="single" w:sz="2" w:space="0" w:color="000000"/>
          </w:divBdr>
        </w:div>
        <w:div w:id="1090392282">
          <w:marLeft w:val="0"/>
          <w:marRight w:val="0"/>
          <w:marTop w:val="0"/>
          <w:marBottom w:val="0"/>
          <w:divBdr>
            <w:top w:val="single" w:sz="2" w:space="0" w:color="000000"/>
            <w:left w:val="single" w:sz="2" w:space="0" w:color="000000"/>
            <w:bottom w:val="single" w:sz="2" w:space="0" w:color="000000"/>
            <w:right w:val="single" w:sz="2" w:space="0" w:color="000000"/>
          </w:divBdr>
        </w:div>
        <w:div w:id="357970718">
          <w:marLeft w:val="0"/>
          <w:marRight w:val="0"/>
          <w:marTop w:val="0"/>
          <w:marBottom w:val="300"/>
          <w:divBdr>
            <w:top w:val="single" w:sz="2" w:space="0" w:color="000000"/>
            <w:left w:val="single" w:sz="2" w:space="0" w:color="000000"/>
            <w:bottom w:val="single" w:sz="2" w:space="0" w:color="000000"/>
            <w:right w:val="single" w:sz="2" w:space="0" w:color="000000"/>
          </w:divBdr>
        </w:div>
        <w:div w:id="554657807">
          <w:marLeft w:val="0"/>
          <w:marRight w:val="0"/>
          <w:marTop w:val="0"/>
          <w:marBottom w:val="0"/>
          <w:divBdr>
            <w:top w:val="single" w:sz="2" w:space="0" w:color="000000"/>
            <w:left w:val="single" w:sz="2" w:space="0" w:color="000000"/>
            <w:bottom w:val="single" w:sz="2" w:space="0" w:color="000000"/>
            <w:right w:val="single" w:sz="2" w:space="0" w:color="000000"/>
          </w:divBdr>
        </w:div>
        <w:div w:id="845897053">
          <w:marLeft w:val="0"/>
          <w:marRight w:val="0"/>
          <w:marTop w:val="0"/>
          <w:marBottom w:val="300"/>
          <w:divBdr>
            <w:top w:val="single" w:sz="2" w:space="0" w:color="000000"/>
            <w:left w:val="single" w:sz="2" w:space="0" w:color="000000"/>
            <w:bottom w:val="single" w:sz="2" w:space="0" w:color="000000"/>
            <w:right w:val="single" w:sz="2" w:space="0" w:color="000000"/>
          </w:divBdr>
        </w:div>
        <w:div w:id="353730303">
          <w:marLeft w:val="0"/>
          <w:marRight w:val="0"/>
          <w:marTop w:val="0"/>
          <w:marBottom w:val="0"/>
          <w:divBdr>
            <w:top w:val="single" w:sz="2" w:space="0" w:color="000000"/>
            <w:left w:val="single" w:sz="2" w:space="0" w:color="000000"/>
            <w:bottom w:val="single" w:sz="2" w:space="0" w:color="000000"/>
            <w:right w:val="single" w:sz="2" w:space="0" w:color="000000"/>
          </w:divBdr>
        </w:div>
        <w:div w:id="504367029">
          <w:marLeft w:val="0"/>
          <w:marRight w:val="0"/>
          <w:marTop w:val="0"/>
          <w:marBottom w:val="0"/>
          <w:divBdr>
            <w:top w:val="single" w:sz="2" w:space="0" w:color="000000"/>
            <w:left w:val="single" w:sz="2" w:space="0" w:color="000000"/>
            <w:bottom w:val="single" w:sz="2" w:space="0" w:color="000000"/>
            <w:right w:val="single" w:sz="2" w:space="0" w:color="000000"/>
          </w:divBdr>
        </w:div>
        <w:div w:id="888688038">
          <w:marLeft w:val="0"/>
          <w:marRight w:val="0"/>
          <w:marTop w:val="0"/>
          <w:marBottom w:val="0"/>
          <w:divBdr>
            <w:top w:val="single" w:sz="2" w:space="0" w:color="000000"/>
            <w:left w:val="single" w:sz="2" w:space="0" w:color="000000"/>
            <w:bottom w:val="single" w:sz="2" w:space="0" w:color="000000"/>
            <w:right w:val="single" w:sz="2" w:space="0" w:color="000000"/>
          </w:divBdr>
        </w:div>
        <w:div w:id="52588952">
          <w:marLeft w:val="0"/>
          <w:marRight w:val="0"/>
          <w:marTop w:val="0"/>
          <w:marBottom w:val="0"/>
          <w:divBdr>
            <w:top w:val="single" w:sz="2" w:space="0" w:color="000000"/>
            <w:left w:val="single" w:sz="2" w:space="0" w:color="000000"/>
            <w:bottom w:val="single" w:sz="2" w:space="0" w:color="000000"/>
            <w:right w:val="single" w:sz="2" w:space="0" w:color="000000"/>
          </w:divBdr>
        </w:div>
        <w:div w:id="63181414">
          <w:marLeft w:val="0"/>
          <w:marRight w:val="0"/>
          <w:marTop w:val="0"/>
          <w:marBottom w:val="0"/>
          <w:divBdr>
            <w:top w:val="single" w:sz="2" w:space="0" w:color="000000"/>
            <w:left w:val="single" w:sz="2" w:space="0" w:color="000000"/>
            <w:bottom w:val="single" w:sz="2" w:space="0" w:color="000000"/>
            <w:right w:val="single" w:sz="2" w:space="0" w:color="000000"/>
          </w:divBdr>
        </w:div>
        <w:div w:id="1351175857">
          <w:marLeft w:val="0"/>
          <w:marRight w:val="0"/>
          <w:marTop w:val="0"/>
          <w:marBottom w:val="0"/>
          <w:divBdr>
            <w:top w:val="single" w:sz="2" w:space="0" w:color="000000"/>
            <w:left w:val="single" w:sz="2" w:space="0" w:color="000000"/>
            <w:bottom w:val="single" w:sz="2" w:space="0" w:color="000000"/>
            <w:right w:val="single" w:sz="2" w:space="0" w:color="000000"/>
          </w:divBdr>
        </w:div>
        <w:div w:id="27682965">
          <w:marLeft w:val="0"/>
          <w:marRight w:val="0"/>
          <w:marTop w:val="0"/>
          <w:marBottom w:val="0"/>
          <w:divBdr>
            <w:top w:val="single" w:sz="2" w:space="0" w:color="000000"/>
            <w:left w:val="single" w:sz="2" w:space="0" w:color="000000"/>
            <w:bottom w:val="single" w:sz="2" w:space="0" w:color="000000"/>
            <w:right w:val="single" w:sz="2" w:space="0" w:color="000000"/>
          </w:divBdr>
        </w:div>
        <w:div w:id="947735546">
          <w:marLeft w:val="0"/>
          <w:marRight w:val="0"/>
          <w:marTop w:val="0"/>
          <w:marBottom w:val="0"/>
          <w:divBdr>
            <w:top w:val="single" w:sz="2" w:space="0" w:color="000000"/>
            <w:left w:val="single" w:sz="2" w:space="0" w:color="000000"/>
            <w:bottom w:val="single" w:sz="2" w:space="0" w:color="000000"/>
            <w:right w:val="single" w:sz="2" w:space="0" w:color="000000"/>
          </w:divBdr>
        </w:div>
        <w:div w:id="1193495870">
          <w:marLeft w:val="0"/>
          <w:marRight w:val="0"/>
          <w:marTop w:val="0"/>
          <w:marBottom w:val="300"/>
          <w:divBdr>
            <w:top w:val="single" w:sz="2" w:space="0" w:color="000000"/>
            <w:left w:val="single" w:sz="2" w:space="0" w:color="000000"/>
            <w:bottom w:val="single" w:sz="2" w:space="0" w:color="000000"/>
            <w:right w:val="single" w:sz="2" w:space="0" w:color="000000"/>
          </w:divBdr>
        </w:div>
        <w:div w:id="1407872528">
          <w:marLeft w:val="0"/>
          <w:marRight w:val="0"/>
          <w:marTop w:val="312"/>
          <w:marBottom w:val="144"/>
          <w:divBdr>
            <w:top w:val="single" w:sz="2" w:space="0" w:color="000000"/>
            <w:left w:val="single" w:sz="2" w:space="0" w:color="000000"/>
            <w:bottom w:val="single" w:sz="2" w:space="0" w:color="000000"/>
            <w:right w:val="single" w:sz="2" w:space="0" w:color="000000"/>
          </w:divBdr>
        </w:div>
        <w:div w:id="913590600">
          <w:marLeft w:val="0"/>
          <w:marRight w:val="0"/>
          <w:marTop w:val="0"/>
          <w:marBottom w:val="0"/>
          <w:divBdr>
            <w:top w:val="single" w:sz="2" w:space="0" w:color="000000"/>
            <w:left w:val="single" w:sz="2" w:space="0" w:color="000000"/>
            <w:bottom w:val="single" w:sz="2" w:space="0" w:color="000000"/>
            <w:right w:val="single" w:sz="2" w:space="0" w:color="000000"/>
          </w:divBdr>
        </w:div>
        <w:div w:id="1817606287">
          <w:marLeft w:val="0"/>
          <w:marRight w:val="0"/>
          <w:marTop w:val="0"/>
          <w:marBottom w:val="0"/>
          <w:divBdr>
            <w:top w:val="single" w:sz="2" w:space="0" w:color="000000"/>
            <w:left w:val="single" w:sz="2" w:space="0" w:color="000000"/>
            <w:bottom w:val="single" w:sz="2" w:space="0" w:color="000000"/>
            <w:right w:val="single" w:sz="2" w:space="0" w:color="000000"/>
          </w:divBdr>
        </w:div>
        <w:div w:id="807236752">
          <w:marLeft w:val="0"/>
          <w:marRight w:val="0"/>
          <w:marTop w:val="0"/>
          <w:marBottom w:val="300"/>
          <w:divBdr>
            <w:top w:val="single" w:sz="2" w:space="0" w:color="000000"/>
            <w:left w:val="single" w:sz="2" w:space="0" w:color="000000"/>
            <w:bottom w:val="single" w:sz="2" w:space="0" w:color="000000"/>
            <w:right w:val="single" w:sz="2" w:space="0" w:color="000000"/>
          </w:divBdr>
        </w:div>
        <w:div w:id="1381513915">
          <w:marLeft w:val="0"/>
          <w:marRight w:val="0"/>
          <w:marTop w:val="312"/>
          <w:marBottom w:val="144"/>
          <w:divBdr>
            <w:top w:val="single" w:sz="2" w:space="0" w:color="000000"/>
            <w:left w:val="single" w:sz="2" w:space="0" w:color="000000"/>
            <w:bottom w:val="single" w:sz="2" w:space="0" w:color="000000"/>
            <w:right w:val="single" w:sz="2" w:space="0" w:color="000000"/>
          </w:divBdr>
        </w:div>
        <w:div w:id="550728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8488616">
      <w:bodyDiv w:val="1"/>
      <w:marLeft w:val="0"/>
      <w:marRight w:val="0"/>
      <w:marTop w:val="0"/>
      <w:marBottom w:val="0"/>
      <w:divBdr>
        <w:top w:val="none" w:sz="0" w:space="0" w:color="auto"/>
        <w:left w:val="none" w:sz="0" w:space="0" w:color="auto"/>
        <w:bottom w:val="none" w:sz="0" w:space="0" w:color="auto"/>
        <w:right w:val="none" w:sz="0" w:space="0" w:color="auto"/>
      </w:divBdr>
      <w:divsChild>
        <w:div w:id="1179461759">
          <w:marLeft w:val="0"/>
          <w:marRight w:val="0"/>
          <w:marTop w:val="0"/>
          <w:marBottom w:val="300"/>
          <w:divBdr>
            <w:top w:val="single" w:sz="2" w:space="0" w:color="000000"/>
            <w:left w:val="single" w:sz="2" w:space="0" w:color="000000"/>
            <w:bottom w:val="single" w:sz="2" w:space="0" w:color="000000"/>
            <w:right w:val="single" w:sz="2" w:space="0" w:color="000000"/>
          </w:divBdr>
        </w:div>
        <w:div w:id="912817243">
          <w:marLeft w:val="0"/>
          <w:marRight w:val="0"/>
          <w:marTop w:val="312"/>
          <w:marBottom w:val="144"/>
          <w:divBdr>
            <w:top w:val="single" w:sz="2" w:space="0" w:color="000000"/>
            <w:left w:val="single" w:sz="2" w:space="0" w:color="000000"/>
            <w:bottom w:val="single" w:sz="2" w:space="0" w:color="000000"/>
            <w:right w:val="single" w:sz="2" w:space="0" w:color="000000"/>
          </w:divBdr>
        </w:div>
        <w:div w:id="967709315">
          <w:marLeft w:val="0"/>
          <w:marRight w:val="0"/>
          <w:marTop w:val="0"/>
          <w:marBottom w:val="0"/>
          <w:divBdr>
            <w:top w:val="single" w:sz="2" w:space="0" w:color="000000"/>
            <w:left w:val="single" w:sz="2" w:space="0" w:color="000000"/>
            <w:bottom w:val="single" w:sz="2" w:space="0" w:color="000000"/>
            <w:right w:val="single" w:sz="2" w:space="0" w:color="000000"/>
          </w:divBdr>
        </w:div>
        <w:div w:id="949046935">
          <w:marLeft w:val="0"/>
          <w:marRight w:val="0"/>
          <w:marTop w:val="0"/>
          <w:marBottom w:val="0"/>
          <w:divBdr>
            <w:top w:val="single" w:sz="2" w:space="0" w:color="000000"/>
            <w:left w:val="single" w:sz="2" w:space="0" w:color="000000"/>
            <w:bottom w:val="single" w:sz="2" w:space="0" w:color="000000"/>
            <w:right w:val="single" w:sz="2" w:space="0" w:color="000000"/>
          </w:divBdr>
        </w:div>
        <w:div w:id="152718737">
          <w:marLeft w:val="0"/>
          <w:marRight w:val="0"/>
          <w:marTop w:val="312"/>
          <w:marBottom w:val="144"/>
          <w:divBdr>
            <w:top w:val="single" w:sz="2" w:space="0" w:color="000000"/>
            <w:left w:val="single" w:sz="2" w:space="0" w:color="000000"/>
            <w:bottom w:val="single" w:sz="2" w:space="0" w:color="000000"/>
            <w:right w:val="single" w:sz="2" w:space="0" w:color="000000"/>
          </w:divBdr>
        </w:div>
        <w:div w:id="1493371203">
          <w:marLeft w:val="0"/>
          <w:marRight w:val="0"/>
          <w:marTop w:val="0"/>
          <w:marBottom w:val="300"/>
          <w:divBdr>
            <w:top w:val="single" w:sz="2" w:space="0" w:color="000000"/>
            <w:left w:val="single" w:sz="2" w:space="0" w:color="000000"/>
            <w:bottom w:val="single" w:sz="2" w:space="0" w:color="000000"/>
            <w:right w:val="single" w:sz="2" w:space="0" w:color="000000"/>
          </w:divBdr>
        </w:div>
        <w:div w:id="1609241250">
          <w:marLeft w:val="0"/>
          <w:marRight w:val="0"/>
          <w:marTop w:val="0"/>
          <w:marBottom w:val="0"/>
          <w:divBdr>
            <w:top w:val="single" w:sz="2" w:space="0" w:color="000000"/>
            <w:left w:val="single" w:sz="2" w:space="0" w:color="000000"/>
            <w:bottom w:val="single" w:sz="2" w:space="0" w:color="000000"/>
            <w:right w:val="single" w:sz="2" w:space="0" w:color="000000"/>
          </w:divBdr>
        </w:div>
        <w:div w:id="1409578375">
          <w:marLeft w:val="0"/>
          <w:marRight w:val="0"/>
          <w:marTop w:val="0"/>
          <w:marBottom w:val="300"/>
          <w:divBdr>
            <w:top w:val="single" w:sz="2" w:space="0" w:color="000000"/>
            <w:left w:val="single" w:sz="2" w:space="0" w:color="000000"/>
            <w:bottom w:val="single" w:sz="2" w:space="0" w:color="000000"/>
            <w:right w:val="single" w:sz="2" w:space="0" w:color="000000"/>
          </w:divBdr>
        </w:div>
        <w:div w:id="1814102117">
          <w:marLeft w:val="0"/>
          <w:marRight w:val="0"/>
          <w:marTop w:val="0"/>
          <w:marBottom w:val="0"/>
          <w:divBdr>
            <w:top w:val="single" w:sz="2" w:space="0" w:color="000000"/>
            <w:left w:val="single" w:sz="2" w:space="0" w:color="000000"/>
            <w:bottom w:val="single" w:sz="2" w:space="0" w:color="000000"/>
            <w:right w:val="single" w:sz="2" w:space="0" w:color="000000"/>
          </w:divBdr>
        </w:div>
        <w:div w:id="981740494">
          <w:marLeft w:val="0"/>
          <w:marRight w:val="0"/>
          <w:marTop w:val="0"/>
          <w:marBottom w:val="0"/>
          <w:divBdr>
            <w:top w:val="single" w:sz="2" w:space="0" w:color="000000"/>
            <w:left w:val="single" w:sz="2" w:space="0" w:color="000000"/>
            <w:bottom w:val="single" w:sz="2" w:space="0" w:color="000000"/>
            <w:right w:val="single" w:sz="2" w:space="0" w:color="000000"/>
          </w:divBdr>
        </w:div>
        <w:div w:id="462232575">
          <w:marLeft w:val="0"/>
          <w:marRight w:val="0"/>
          <w:marTop w:val="0"/>
          <w:marBottom w:val="0"/>
          <w:divBdr>
            <w:top w:val="single" w:sz="2" w:space="0" w:color="000000"/>
            <w:left w:val="single" w:sz="2" w:space="0" w:color="000000"/>
            <w:bottom w:val="single" w:sz="2" w:space="0" w:color="000000"/>
            <w:right w:val="single" w:sz="2" w:space="0" w:color="000000"/>
          </w:divBdr>
        </w:div>
        <w:div w:id="375740203">
          <w:marLeft w:val="0"/>
          <w:marRight w:val="0"/>
          <w:marTop w:val="0"/>
          <w:marBottom w:val="0"/>
          <w:divBdr>
            <w:top w:val="single" w:sz="2" w:space="0" w:color="000000"/>
            <w:left w:val="single" w:sz="2" w:space="0" w:color="000000"/>
            <w:bottom w:val="single" w:sz="2" w:space="0" w:color="000000"/>
            <w:right w:val="single" w:sz="2" w:space="0" w:color="000000"/>
          </w:divBdr>
        </w:div>
        <w:div w:id="747071342">
          <w:marLeft w:val="0"/>
          <w:marRight w:val="0"/>
          <w:marTop w:val="0"/>
          <w:marBottom w:val="0"/>
          <w:divBdr>
            <w:top w:val="single" w:sz="2" w:space="0" w:color="000000"/>
            <w:left w:val="single" w:sz="2" w:space="0" w:color="000000"/>
            <w:bottom w:val="single" w:sz="2" w:space="0" w:color="000000"/>
            <w:right w:val="single" w:sz="2" w:space="0" w:color="000000"/>
          </w:divBdr>
        </w:div>
        <w:div w:id="510417268">
          <w:marLeft w:val="0"/>
          <w:marRight w:val="0"/>
          <w:marTop w:val="0"/>
          <w:marBottom w:val="0"/>
          <w:divBdr>
            <w:top w:val="single" w:sz="2" w:space="0" w:color="000000"/>
            <w:left w:val="single" w:sz="2" w:space="0" w:color="000000"/>
            <w:bottom w:val="single" w:sz="2" w:space="0" w:color="000000"/>
            <w:right w:val="single" w:sz="2" w:space="0" w:color="000000"/>
          </w:divBdr>
        </w:div>
        <w:div w:id="1280263890">
          <w:marLeft w:val="0"/>
          <w:marRight w:val="0"/>
          <w:marTop w:val="0"/>
          <w:marBottom w:val="0"/>
          <w:divBdr>
            <w:top w:val="single" w:sz="2" w:space="0" w:color="000000"/>
            <w:left w:val="single" w:sz="2" w:space="0" w:color="000000"/>
            <w:bottom w:val="single" w:sz="2" w:space="0" w:color="000000"/>
            <w:right w:val="single" w:sz="2" w:space="0" w:color="000000"/>
          </w:divBdr>
        </w:div>
        <w:div w:id="276107506">
          <w:marLeft w:val="0"/>
          <w:marRight w:val="0"/>
          <w:marTop w:val="0"/>
          <w:marBottom w:val="0"/>
          <w:divBdr>
            <w:top w:val="single" w:sz="2" w:space="0" w:color="000000"/>
            <w:left w:val="single" w:sz="2" w:space="0" w:color="000000"/>
            <w:bottom w:val="single" w:sz="2" w:space="0" w:color="000000"/>
            <w:right w:val="single" w:sz="2" w:space="0" w:color="000000"/>
          </w:divBdr>
        </w:div>
        <w:div w:id="426731560">
          <w:marLeft w:val="0"/>
          <w:marRight w:val="0"/>
          <w:marTop w:val="0"/>
          <w:marBottom w:val="0"/>
          <w:divBdr>
            <w:top w:val="single" w:sz="2" w:space="0" w:color="000000"/>
            <w:left w:val="single" w:sz="2" w:space="0" w:color="000000"/>
            <w:bottom w:val="single" w:sz="2" w:space="0" w:color="000000"/>
            <w:right w:val="single" w:sz="2" w:space="0" w:color="000000"/>
          </w:divBdr>
        </w:div>
        <w:div w:id="1520698154">
          <w:marLeft w:val="0"/>
          <w:marRight w:val="0"/>
          <w:marTop w:val="0"/>
          <w:marBottom w:val="0"/>
          <w:divBdr>
            <w:top w:val="single" w:sz="2" w:space="0" w:color="000000"/>
            <w:left w:val="single" w:sz="2" w:space="0" w:color="000000"/>
            <w:bottom w:val="single" w:sz="2" w:space="0" w:color="000000"/>
            <w:right w:val="single" w:sz="2" w:space="0" w:color="000000"/>
          </w:divBdr>
        </w:div>
        <w:div w:id="1717966908">
          <w:marLeft w:val="0"/>
          <w:marRight w:val="0"/>
          <w:marTop w:val="0"/>
          <w:marBottom w:val="300"/>
          <w:divBdr>
            <w:top w:val="single" w:sz="2" w:space="0" w:color="000000"/>
            <w:left w:val="single" w:sz="2" w:space="0" w:color="000000"/>
            <w:bottom w:val="single" w:sz="2" w:space="0" w:color="000000"/>
            <w:right w:val="single" w:sz="2" w:space="0" w:color="000000"/>
          </w:divBdr>
        </w:div>
        <w:div w:id="1266231123">
          <w:marLeft w:val="0"/>
          <w:marRight w:val="0"/>
          <w:marTop w:val="0"/>
          <w:marBottom w:val="0"/>
          <w:divBdr>
            <w:top w:val="single" w:sz="2" w:space="0" w:color="000000"/>
            <w:left w:val="single" w:sz="2" w:space="0" w:color="000000"/>
            <w:bottom w:val="single" w:sz="2" w:space="0" w:color="000000"/>
            <w:right w:val="single" w:sz="2" w:space="0" w:color="000000"/>
          </w:divBdr>
        </w:div>
        <w:div w:id="914894597">
          <w:marLeft w:val="0"/>
          <w:marRight w:val="0"/>
          <w:marTop w:val="0"/>
          <w:marBottom w:val="300"/>
          <w:divBdr>
            <w:top w:val="single" w:sz="2" w:space="0" w:color="000000"/>
            <w:left w:val="single" w:sz="2" w:space="0" w:color="000000"/>
            <w:bottom w:val="single" w:sz="2" w:space="0" w:color="000000"/>
            <w:right w:val="single" w:sz="2" w:space="0" w:color="000000"/>
          </w:divBdr>
        </w:div>
        <w:div w:id="1103460186">
          <w:marLeft w:val="0"/>
          <w:marRight w:val="0"/>
          <w:marTop w:val="0"/>
          <w:marBottom w:val="0"/>
          <w:divBdr>
            <w:top w:val="single" w:sz="2" w:space="0" w:color="000000"/>
            <w:left w:val="single" w:sz="2" w:space="0" w:color="000000"/>
            <w:bottom w:val="single" w:sz="2" w:space="0" w:color="000000"/>
            <w:right w:val="single" w:sz="2" w:space="0" w:color="000000"/>
          </w:divBdr>
        </w:div>
        <w:div w:id="1910652860">
          <w:marLeft w:val="0"/>
          <w:marRight w:val="0"/>
          <w:marTop w:val="0"/>
          <w:marBottom w:val="0"/>
          <w:divBdr>
            <w:top w:val="single" w:sz="2" w:space="0" w:color="000000"/>
            <w:left w:val="single" w:sz="2" w:space="0" w:color="000000"/>
            <w:bottom w:val="single" w:sz="2" w:space="0" w:color="000000"/>
            <w:right w:val="single" w:sz="2" w:space="0" w:color="000000"/>
          </w:divBdr>
        </w:div>
        <w:div w:id="864295939">
          <w:marLeft w:val="0"/>
          <w:marRight w:val="0"/>
          <w:marTop w:val="0"/>
          <w:marBottom w:val="0"/>
          <w:divBdr>
            <w:top w:val="single" w:sz="2" w:space="0" w:color="000000"/>
            <w:left w:val="single" w:sz="2" w:space="0" w:color="000000"/>
            <w:bottom w:val="single" w:sz="2" w:space="0" w:color="000000"/>
            <w:right w:val="single" w:sz="2" w:space="0" w:color="000000"/>
          </w:divBdr>
        </w:div>
        <w:div w:id="944533191">
          <w:marLeft w:val="0"/>
          <w:marRight w:val="0"/>
          <w:marTop w:val="0"/>
          <w:marBottom w:val="0"/>
          <w:divBdr>
            <w:top w:val="single" w:sz="2" w:space="0" w:color="000000"/>
            <w:left w:val="single" w:sz="2" w:space="0" w:color="000000"/>
            <w:bottom w:val="single" w:sz="2" w:space="0" w:color="000000"/>
            <w:right w:val="single" w:sz="2" w:space="0" w:color="000000"/>
          </w:divBdr>
        </w:div>
        <w:div w:id="1954705604">
          <w:marLeft w:val="0"/>
          <w:marRight w:val="0"/>
          <w:marTop w:val="0"/>
          <w:marBottom w:val="0"/>
          <w:divBdr>
            <w:top w:val="single" w:sz="2" w:space="0" w:color="000000"/>
            <w:left w:val="single" w:sz="2" w:space="0" w:color="000000"/>
            <w:bottom w:val="single" w:sz="2" w:space="0" w:color="000000"/>
            <w:right w:val="single" w:sz="2" w:space="0" w:color="000000"/>
          </w:divBdr>
        </w:div>
        <w:div w:id="797842097">
          <w:marLeft w:val="0"/>
          <w:marRight w:val="0"/>
          <w:marTop w:val="0"/>
          <w:marBottom w:val="0"/>
          <w:divBdr>
            <w:top w:val="single" w:sz="2" w:space="0" w:color="000000"/>
            <w:left w:val="single" w:sz="2" w:space="0" w:color="000000"/>
            <w:bottom w:val="single" w:sz="2" w:space="0" w:color="000000"/>
            <w:right w:val="single" w:sz="2" w:space="0" w:color="000000"/>
          </w:divBdr>
        </w:div>
        <w:div w:id="176893203">
          <w:marLeft w:val="0"/>
          <w:marRight w:val="0"/>
          <w:marTop w:val="0"/>
          <w:marBottom w:val="0"/>
          <w:divBdr>
            <w:top w:val="single" w:sz="2" w:space="0" w:color="000000"/>
            <w:left w:val="single" w:sz="2" w:space="0" w:color="000000"/>
            <w:bottom w:val="single" w:sz="2" w:space="0" w:color="000000"/>
            <w:right w:val="single" w:sz="2" w:space="0" w:color="000000"/>
          </w:divBdr>
        </w:div>
        <w:div w:id="1045720701">
          <w:marLeft w:val="0"/>
          <w:marRight w:val="0"/>
          <w:marTop w:val="0"/>
          <w:marBottom w:val="0"/>
          <w:divBdr>
            <w:top w:val="single" w:sz="2" w:space="0" w:color="000000"/>
            <w:left w:val="single" w:sz="2" w:space="0" w:color="000000"/>
            <w:bottom w:val="single" w:sz="2" w:space="0" w:color="000000"/>
            <w:right w:val="single" w:sz="2" w:space="0" w:color="000000"/>
          </w:divBdr>
        </w:div>
        <w:div w:id="1375035515">
          <w:marLeft w:val="0"/>
          <w:marRight w:val="0"/>
          <w:marTop w:val="0"/>
          <w:marBottom w:val="300"/>
          <w:divBdr>
            <w:top w:val="single" w:sz="2" w:space="0" w:color="000000"/>
            <w:left w:val="single" w:sz="2" w:space="0" w:color="000000"/>
            <w:bottom w:val="single" w:sz="2" w:space="0" w:color="000000"/>
            <w:right w:val="single" w:sz="2" w:space="0" w:color="000000"/>
          </w:divBdr>
        </w:div>
        <w:div w:id="1940675408">
          <w:marLeft w:val="0"/>
          <w:marRight w:val="0"/>
          <w:marTop w:val="312"/>
          <w:marBottom w:val="144"/>
          <w:divBdr>
            <w:top w:val="single" w:sz="2" w:space="0" w:color="000000"/>
            <w:left w:val="single" w:sz="2" w:space="0" w:color="000000"/>
            <w:bottom w:val="single" w:sz="2" w:space="0" w:color="000000"/>
            <w:right w:val="single" w:sz="2" w:space="0" w:color="000000"/>
          </w:divBdr>
        </w:div>
        <w:div w:id="1861358049">
          <w:marLeft w:val="0"/>
          <w:marRight w:val="0"/>
          <w:marTop w:val="0"/>
          <w:marBottom w:val="0"/>
          <w:divBdr>
            <w:top w:val="single" w:sz="2" w:space="0" w:color="000000"/>
            <w:left w:val="single" w:sz="2" w:space="0" w:color="000000"/>
            <w:bottom w:val="single" w:sz="2" w:space="0" w:color="000000"/>
            <w:right w:val="single" w:sz="2" w:space="0" w:color="000000"/>
          </w:divBdr>
        </w:div>
        <w:div w:id="1779906417">
          <w:marLeft w:val="0"/>
          <w:marRight w:val="0"/>
          <w:marTop w:val="0"/>
          <w:marBottom w:val="0"/>
          <w:divBdr>
            <w:top w:val="single" w:sz="2" w:space="0" w:color="000000"/>
            <w:left w:val="single" w:sz="2" w:space="0" w:color="000000"/>
            <w:bottom w:val="single" w:sz="2" w:space="0" w:color="000000"/>
            <w:right w:val="single" w:sz="2" w:space="0" w:color="000000"/>
          </w:divBdr>
        </w:div>
        <w:div w:id="224340251">
          <w:marLeft w:val="0"/>
          <w:marRight w:val="0"/>
          <w:marTop w:val="0"/>
          <w:marBottom w:val="300"/>
          <w:divBdr>
            <w:top w:val="single" w:sz="2" w:space="0" w:color="000000"/>
            <w:left w:val="single" w:sz="2" w:space="0" w:color="000000"/>
            <w:bottom w:val="single" w:sz="2" w:space="0" w:color="000000"/>
            <w:right w:val="single" w:sz="2" w:space="0" w:color="000000"/>
          </w:divBdr>
        </w:div>
        <w:div w:id="87386895">
          <w:marLeft w:val="0"/>
          <w:marRight w:val="0"/>
          <w:marTop w:val="312"/>
          <w:marBottom w:val="144"/>
          <w:divBdr>
            <w:top w:val="single" w:sz="2" w:space="0" w:color="000000"/>
            <w:left w:val="single" w:sz="2" w:space="0" w:color="000000"/>
            <w:bottom w:val="single" w:sz="2" w:space="0" w:color="000000"/>
            <w:right w:val="single" w:sz="2" w:space="0" w:color="000000"/>
          </w:divBdr>
        </w:div>
        <w:div w:id="1198934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Daulong</dc:creator>
  <cp:keywords/>
  <dc:description/>
  <cp:lastModifiedBy>Leah Hinton</cp:lastModifiedBy>
  <cp:revision>2</cp:revision>
  <dcterms:created xsi:type="dcterms:W3CDTF">2025-04-15T17:59:00Z</dcterms:created>
  <dcterms:modified xsi:type="dcterms:W3CDTF">2025-04-15T17:59:00Z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40aead6e-888e-4b7c-a030-93e548424f80</vt:lpwstr>
  </property>
</Properties>
</file>